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5d34611226343a9"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Asociaţia Timiş Torontal Bârzava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Dezvoltarea serviciilor de bază locale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w:t>
            </w:r>
          </w:p>
          <w:p>
            <w:pPr>
              <w:spacing w:line="360" w:lineRule="auto"/>
              <w:ind w:left="0" w:right="0" w:firstLine="493"/>
            </w:pPr>
            <w:r>
              <w:rPr>
                <w:rFonts w:ascii="Cambria" w:hAnsi="Cambria"/>
                <w:b w:val="false"/>
                <w:sz w:val="24"/>
              </w:rPr>
              <w:t>Se vor verifica actele juridice de înfiinţare şi funcţionare, specifice fiecărei categorii de solicitanţi, certificat de înregistrare fiscală conform sectiunii E.1 respectiv bifa de la sectiunea A 9.3. Se verifica si cererea de finantare sectiunea E 2.1</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nu trebuie să fie în insolvență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Se va verifica completarea declaraţiei pe propria răspundere a solicitantului din cererea de finantare. Se verifica inclusiv sectiunea E 2.1 din cererea de finantare. </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se angajează să asigure întreținerea/ mentenanța investiției pe o perioadă de minim 3 ani (5 ani pentru proiectele care prevăd construcții+montaj), de la finalizarea ultimei Cereri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Cererea de finanţare - Secţiunea F</w:t>
            </w:r>
          </w:p>
          <w:p>
            <w:pPr>
              <w:spacing w:line="360" w:lineRule="auto"/>
              <w:ind w:left="0" w:right="0" w:firstLine="493"/>
            </w:pPr>
            <w:r>
              <w:rPr>
                <w:rFonts w:ascii="Cambria" w:hAnsi="Cambria"/>
                <w:b w:val="false"/>
                <w:sz w:val="24"/>
              </w:rPr>
              <w:t>Se verifică în Declataţia pe propria răspundere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Investiția se încadrează în tipul de sprijin prevăzut prin intervenție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R.41PR-Ponderea populației ruralecare beneficiază de un accesîmbunătățit la servicii șiinfrastructură prin intermediulsprijinului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ferifica dacă în Cererea de finanţare/SF/MJ/DALI este precizat expres numărul de persoane care beneficiază de un acces îmbunătățit la servicii și infrastructură prin intermediul sprijinului PAC, datorită implementării proiectului.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de selecţie după tipul investiţiei - servicii publice, dotări, construcţii-montaj;</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1.1.</w:t>
            </w:r>
          </w:p>
        </w:tc>
        <w:tc>
          <w:tcPr>
            <w:shd w:val="clear" w:color="auto" w:fill="F8ECD2"/>
            <w:vAlign w:val="center"/>
          </w:tcPr>
          <w:p>
            <w:r>
              <w:rPr>
                <w:rFonts w:ascii="Cambria" w:hAnsi="Cambria"/>
                <w:b w:val="false"/>
                <w:color w:val="58400C"/>
                <w:sz w:val="24"/>
              </w:rPr>
              <w:t>Criteriu de selecţie după tipul investiţiei - investiţia îmbunătăţeşte accesul populaţiei la serviciile publice</w:t>
            </w:r>
          </w:p>
        </w:tc>
        <w:tc>
          <w:tcPr>
            <w:vAlign w:val="center"/>
          </w:tcPr>
          <w:p>
            <w:pPr>
              <w:keepNext/>
              <w:spacing w:line="360" w:lineRule="auto"/>
              <w:ind w:left="0" w:right="0" w:firstLine="493"/>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cererea de finanțare, studiul de fezabilitate/DALI/PT, memoriu justificativ.</w:t>
            </w:r>
          </w:p>
          <w:p>
            <w:pPr>
              <w:spacing w:line="360" w:lineRule="auto"/>
              <w:ind w:left="0" w:right="0" w:firstLine="493"/>
            </w:pPr>
            <w:r>
              <w:rPr>
                <w:rFonts w:ascii="Cambria" w:hAnsi="Cambria"/>
                <w:b w:val="false"/>
                <w:sz w:val="24"/>
              </w:rPr>
              <w:t>Dacă proiectul prevede investiţii care conduc la îmbunătăţirea activtăţii unui serviciu public oferit cetăţenilor comunităţii se acordă punctajul de 30 puncte.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1.2</w:t>
            </w:r>
          </w:p>
        </w:tc>
        <w:tc>
          <w:tcPr>
            <w:shd w:val="clear" w:color="auto" w:fill="F8ECD2"/>
            <w:vAlign w:val="center"/>
          </w:tcPr>
          <w:p>
            <w:r>
              <w:rPr>
                <w:rFonts w:ascii="Cambria" w:hAnsi="Cambria"/>
                <w:b w:val="false"/>
                <w:color w:val="58400C"/>
                <w:sz w:val="24"/>
              </w:rPr>
              <w:t>Criteriu de selecţie după tipul investiţiei -  dotări</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cererea de finanțare, studiul de fezabilitate/DALI/PT, memoriu justificativ.</w:t>
            </w:r>
          </w:p>
          <w:p>
            <w:pPr>
              <w:spacing w:line="360" w:lineRule="auto"/>
              <w:ind w:left="0" w:right="0" w:firstLine="493"/>
            </w:pPr>
            <w:r>
              <w:rPr>
                <w:rFonts w:ascii="Cambria" w:hAnsi="Cambria"/>
                <w:b w:val="false"/>
                <w:sz w:val="24"/>
              </w:rPr>
              <w:t>Dacă proiectul prevede dotari  care  contribuie la creşterea calităţii vieţii cetăţenilor comunităţii se acordă punctajul de 25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1.3</w:t>
            </w:r>
          </w:p>
        </w:tc>
        <w:tc>
          <w:tcPr>
            <w:shd w:val="clear" w:color="auto" w:fill="F8ECD2"/>
            <w:vAlign w:val="center"/>
          </w:tcPr>
          <w:p>
            <w:r>
              <w:rPr>
                <w:rFonts w:ascii="Cambria" w:hAnsi="Cambria"/>
                <w:b w:val="false"/>
                <w:color w:val="58400C"/>
                <w:sz w:val="24"/>
              </w:rPr>
              <w:t>Criteriu de selecţie după tipul investiţiei care presupun lucrări de construcţii</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cererea de finanțare, studiul de fezabilitate/DALI/PT, memoriu justificativ.</w:t>
            </w:r>
          </w:p>
          <w:p>
            <w:pPr>
              <w:spacing w:line="360" w:lineRule="auto"/>
              <w:ind w:left="0" w:right="0" w:firstLine="493"/>
            </w:pPr>
            <w:r>
              <w:rPr>
                <w:rFonts w:ascii="Cambria" w:hAnsi="Cambria"/>
                <w:b w:val="false"/>
                <w:sz w:val="24"/>
              </w:rPr>
              <w:t>Dacă proiectul prevede investiţii ce presupun lucrări de construcţii montaj care conduc la îmbunătăţirea/modernizarea infrastructurii la scară mică care contribuie la creşterea calităţii vieţii cetăţenilor comunităţii se acordă punctajul de 20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contribuţiei la cofinanţarea proiecteului în cote cuprinse între 5-20%;</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2.1</w:t>
            </w:r>
          </w:p>
        </w:tc>
        <w:tc>
          <w:tcPr>
            <w:shd w:val="clear" w:color="auto" w:fill="F8ECD2"/>
            <w:vAlign w:val="center"/>
          </w:tcPr>
          <w:p>
            <w:pPr>
              <w:spacing w:line="360" w:lineRule="auto"/>
              <w:ind w:left="0" w:right="0" w:firstLine="493"/>
            </w:pPr>
            <w:r>
              <w:rPr>
                <w:rFonts w:ascii="Cambria" w:hAnsi="Cambria"/>
                <w:b w:val="false"/>
                <w:color w:val="58400C"/>
                <w:sz w:val="24"/>
              </w:rPr>
              <w:t>Criteriu Proiecte care prevăd cofinanțarea proiectului 20% şi peste.</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cererea de finanțare - planul de finanţare, declarații și acte doveditoare privind cofinanțarea.</w:t>
            </w:r>
          </w:p>
          <w:p>
            <w:pPr>
              <w:spacing w:line="360" w:lineRule="auto"/>
              <w:ind w:left="0" w:right="0" w:firstLine="493"/>
            </w:pPr>
            <w:r>
              <w:rPr>
                <w:rFonts w:ascii="Cambria" w:hAnsi="Cambria"/>
                <w:b w:val="false"/>
                <w:sz w:val="24"/>
              </w:rPr>
              <w:t>În cazul proiectelor care prevăd cofinanţare de 20% şi peste, din partea solicitanţilor, vor primi 20 puncte. Solicitatntul va prezenta Declaraţie pe propria răspundere la depunerea cererii de finanţare şi extras de cont din care să rezulte existenţa cofinanţării într-un cont bancar la semnarea contractului de finanţare.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2.2</w:t>
            </w:r>
          </w:p>
        </w:tc>
        <w:tc>
          <w:tcPr>
            <w:shd w:val="clear" w:color="auto" w:fill="F8ECD2"/>
            <w:vAlign w:val="center"/>
          </w:tcPr>
          <w:p>
            <w:pPr>
              <w:spacing w:line="360" w:lineRule="auto"/>
              <w:ind w:left="0" w:right="0" w:firstLine="493"/>
            </w:pPr>
            <w:r>
              <w:rPr>
                <w:rFonts w:ascii="Cambria" w:hAnsi="Cambria"/>
                <w:b w:val="false"/>
                <w:color w:val="58400C"/>
                <w:sz w:val="24"/>
              </w:rPr>
              <w:t>Proiecte care prevăd cofinanțarea proiectului între 10% şi 20%</w:t>
            </w:r>
          </w:p>
        </w:tc>
        <w:tc>
          <w:tcPr>
            <w:vAlign w:val="center"/>
          </w:tcPr>
          <w:p>
            <w:pPr>
              <w:keepNext/>
              <w:spacing w:line="360" w:lineRule="auto"/>
              <w:ind w:left="0" w:right="0" w:firstLine="493"/>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cererea de finanțare - planul de finanţare, declarații și acte doveditoare privind cofinanțarea.</w:t>
            </w:r>
          </w:p>
          <w:p>
            <w:pPr>
              <w:spacing w:line="360" w:lineRule="auto"/>
              <w:ind w:left="0" w:right="0" w:firstLine="493"/>
            </w:pPr>
            <w:r>
              <w:rPr>
                <w:rFonts w:ascii="Cambria" w:hAnsi="Cambria"/>
                <w:b w:val="false"/>
                <w:sz w:val="24"/>
              </w:rPr>
              <w:t>În cazul proiectelor care prevăd cofinanţare între 10% şi 20% , din partea solicitanţilor vor primi 15 puncte. Solicitatntul va prezenta Declaraţie pe propria răspundere la depunerea cererii de finanţare şi extras de cont din care să rezulte existenţa cofinanţării într-un cont bancar la semnarea contractului de finanţare.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2.3</w:t>
            </w:r>
          </w:p>
        </w:tc>
        <w:tc>
          <w:tcPr>
            <w:shd w:val="clear" w:color="auto" w:fill="F8ECD2"/>
            <w:vAlign w:val="center"/>
          </w:tcPr>
          <w:p>
            <w:r>
              <w:rPr>
                <w:rFonts w:ascii="Cambria" w:hAnsi="Cambria"/>
                <w:b w:val="false"/>
                <w:color w:val="58400C"/>
                <w:sz w:val="24"/>
              </w:rPr>
              <w:t>Proiecte care prevăd cofinanțarea proiectului între 5% şi 10%, inclusiv limitele de interval</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cererea de finanțare - planul financiar, declarații și acte doveditoare privind cofinanțarea.</w:t>
            </w:r>
          </w:p>
          <w:p>
            <w:pPr>
              <w:spacing w:line="360" w:lineRule="auto"/>
              <w:ind w:left="0" w:right="0" w:firstLine="493"/>
            </w:pPr>
            <w:r>
              <w:rPr>
                <w:rFonts w:ascii="Cambria" w:hAnsi="Cambria"/>
                <w:b w:val="false"/>
                <w:sz w:val="24"/>
              </w:rPr>
              <w:t>În cazul proiectelor care prevăd cofinanţare între 5% şi 10% , din partea solicitanţilor vor primi 10 puncte. Intervalul de cofinanţare pentru care se acordă punctaj include şi limitele acestuia. Solicitatntul va prezenta Declaraţie pe propria răspundere la depunerea cererii de finanţare şi extras de cont din care să rezulte existenţa cofinanţării într-un cont bancar la semnarea contractului de finanţare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Prioritizarea proiectelor ai căror beneficiari indirecţi sunt mai mult de o singură localitate(sate aparţinând de acelaşi UAT sau de UAT diferite);</w:t>
            </w:r>
          </w:p>
        </w:tc>
        <w:tc>
          <w:tcPr>
            <w:shd w:val="clear" w:color="auto" w:fill="CCE1DB"/>
            <w:vAlign w:val="center"/>
          </w:tcPr>
          <w:p>
            <w:r>
              <w:rPr>
                <w:rFonts w:ascii="Cambria Bold" w:hAnsi="Cambria Bold"/>
                <w:b/>
                <w:color w:val="014935"/>
                <w:sz w:val="24"/>
              </w:rPr>
              <w:t>30  </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3.1.</w:t>
            </w:r>
          </w:p>
        </w:tc>
        <w:tc>
          <w:tcPr>
            <w:shd w:val="clear" w:color="auto" w:fill="F8ECD2"/>
            <w:vAlign w:val="center"/>
          </w:tcPr>
          <w:p>
            <w:r>
              <w:rPr>
                <w:rFonts w:ascii="Cambria" w:hAnsi="Cambria"/>
                <w:b w:val="false"/>
                <w:color w:val="58400C"/>
                <w:sz w:val="24"/>
              </w:rPr>
              <w:t>Proiecte ai căror beneficiari indirecți sunt mai mult de o singură localitate(sate aparținând de același UAT sau UAT diferit).</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Cererea de finanțare, studiul de fezabilitate/DALI/Memoriu Justificativ. </w:t>
            </w:r>
          </w:p>
          <w:p>
            <w:pPr>
              <w:spacing w:line="360" w:lineRule="auto"/>
              <w:ind w:left="0" w:right="0" w:firstLine="493"/>
            </w:pPr>
            <w:r>
              <w:rPr>
                <w:rFonts w:ascii="Cambria" w:hAnsi="Cambria"/>
                <w:b w:val="false"/>
                <w:sz w:val="24"/>
              </w:rPr>
              <w:t>Dacă investiţia propusă prin proiect are beneficiari direcţi sau indirecţi din mai multe localităţi, localităţi ale aceluiaşi UAT sau din UAT-uri diferite proiectul va primi 30 de puncte.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pPr>
              <w:spacing w:line="360" w:lineRule="auto"/>
              <w:ind w:left="0" w:right="0" w:firstLine="493"/>
            </w:pPr>
            <w:r>
              <w:rPr>
                <w:rFonts w:ascii="Cambria" w:hAnsi="Cambria"/>
                <w:b w:val="false"/>
                <w:color w:val="58400C"/>
                <w:sz w:val="24"/>
              </w:rPr>
              <w:t>3.2.</w:t>
            </w:r>
          </w:p>
        </w:tc>
        <w:tc>
          <w:tcPr>
            <w:shd w:val="clear" w:color="auto" w:fill="F8ECD2"/>
            <w:vAlign w:val="center"/>
          </w:tcPr>
          <w:p>
            <w:r>
              <w:rPr>
                <w:rFonts w:ascii="Cambria" w:hAnsi="Cambria"/>
                <w:b w:val="false"/>
                <w:color w:val="58400C"/>
                <w:sz w:val="24"/>
              </w:rPr>
              <w:t>Proiecte ai căror beneficiari indirecți sunt o singură localitate.</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Cererea de finanțare, studiul de fezabilitate/DALI/Memoriu Justificativ. </w:t>
            </w:r>
          </w:p>
          <w:p>
            <w:pPr>
              <w:spacing w:line="360" w:lineRule="auto"/>
              <w:ind w:left="0" w:right="0" w:firstLine="493"/>
            </w:pPr>
            <w:r>
              <w:rPr>
                <w:rFonts w:ascii="Cambria" w:hAnsi="Cambria"/>
                <w:b w:val="false"/>
                <w:sz w:val="24"/>
              </w:rPr>
              <w:t>Dacă investiţia propusă prin proiect are beneficiari direcţi sau indirecţi dintr-o singură localitate proiectul va primi 15 de puncte.</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care cuprind achiziţii şi dotări cu echipamente specifice energiei verzi, inclusiv biomasa.</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4.1.</w:t>
            </w:r>
          </w:p>
        </w:tc>
        <w:tc>
          <w:tcPr>
            <w:shd w:val="clear" w:color="auto" w:fill="F8ECD2"/>
            <w:vAlign w:val="center"/>
          </w:tcPr>
          <w:p>
            <w:r>
              <w:rPr>
                <w:rFonts w:ascii="Cambria" w:hAnsi="Cambria"/>
                <w:b w:val="false"/>
                <w:color w:val="58400C"/>
                <w:sz w:val="24"/>
              </w:rPr>
              <w:t>Proiecte care cuprind achiziţii şi dotări cu echipamente specifice energiei verzi, inclusiv biomasa.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Cererea de finanțare, studiul de fezabilitate/DALI/Memoriu Justificativ.</w:t>
            </w:r>
          </w:p>
          <w:p>
            <w:pPr>
              <w:spacing w:line="360" w:lineRule="auto"/>
              <w:ind w:left="0" w:right="0" w:firstLine="493"/>
            </w:pPr>
            <w:r>
              <w:rPr>
                <w:rFonts w:ascii="Cambria" w:hAnsi="Cambria"/>
                <w:b w:val="false"/>
                <w:sz w:val="24"/>
              </w:rPr>
              <w:t>Dacă prin proiect se propune investiţii în echipamente şi dotări care au efecte pozitive asupra mediului: sisteme de panouri fotovoltaice pentru producerea şi stocare de energie electrică pentru consum propriu, investiţii în producerea de combustibil solid inclusiv din biomasă, alte investiţii care cu efect pozitiv asupra mediului .</w:t>
            </w:r>
          </w:p>
          <w:p>
            <w:pPr>
              <w:spacing w:line="360" w:lineRule="auto"/>
              <w:ind w:left="0" w:right="0" w:firstLine="493"/>
            </w:pPr>
            <w:r>
              <w:rPr>
                <w:rFonts w:ascii="Cambria" w:hAnsi="Cambria"/>
                <w:b w:val="false"/>
                <w:sz w:val="24"/>
              </w:rPr>
              <w:t>Exemplu - MICROBIZE ELECTRICE PENTRU TRANSPORT LOCAL - SCOLAR.</w:t>
            </w:r>
          </w:p>
          <w:p>
            <w:pPr>
              <w:spacing w:line="360" w:lineRule="auto"/>
              <w:ind w:left="0" w:right="0" w:firstLine="493"/>
            </w:pPr>
            <w:r>
              <w:rPr>
                <w:rFonts w:ascii="Cambria" w:hAnsi="Cambria"/>
                <w:b w:val="false"/>
                <w:sz w:val="24"/>
              </w:rPr>
              <w:t>PUNCTAJUL MINIM PENTRRU ACEASTĂ SESIUNE DE PROIECTE ESTE DE 10 PUNCTE.</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Proiecte care srijină accesul populaţiei la serviciile de sănătate(spitale, policlinici, cabinete medicale) publice sau private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Cererea de finanţare dacă este descris modul în care investiţia contribuie la îmbunătăţirea accesului la serviciile de sănătate.</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Cererea de finanţare</w:t>
            </w:r>
          </w:p>
          <w:p>
            <w:pPr>
              <w:spacing w:line="360" w:lineRule="auto"/>
              <w:ind w:left="0" w:right="0" w:firstLine="493"/>
            </w:pPr>
            <w:r>
              <w:rPr>
                <w:rFonts w:ascii="Cambria" w:hAnsi="Cambria"/>
                <w:b w:val="false"/>
                <w:sz w:val="24"/>
              </w:rPr>
              <w:t>Memoriu Justificativ/DALI/SF</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Contribuţia proprie la realizarea investiţiei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Proiectele care vor avea o cofinanţare mai mare din partea beneficiarului vor fi prioritizate.</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Cererea de finanţare</w:t>
            </w:r>
          </w:p>
          <w:p>
            <w:pPr>
              <w:spacing w:line="360" w:lineRule="auto"/>
              <w:ind w:left="0" w:right="0" w:firstLine="493"/>
            </w:pPr>
            <w:r>
              <w:rPr>
                <w:rFonts w:ascii="Cambria" w:hAnsi="Cambria"/>
                <w:b w:val="false"/>
                <w:sz w:val="24"/>
              </w:rPr>
              <w:t>Memoriu Justificativ/DALI/SF</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Proiectele care deservesc un număr cât mai mare de locuitori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care prin implementare vor oferi condiţii de viaţă mai bune unui număr cat mai mare de locuitori.</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19381e98e4816" /></Relationships>
</file>